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VENDOR ADVANCE RECONCILIATION — IDP LIMITED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Vendor: ABC Supplies Pvt Ltd  |  Date: 30 September 2025  |  Prepared by: Accounts Team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Reconciliation Statement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64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Particulars</w:t>
            </w:r>
          </w:p>
        </w:tc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</w:tr>
      <w:tr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Balance as per IDP Ledger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28,00,000</w:t>
            </w:r>
          </w:p>
        </w:tc>
      </w:tr>
      <w:tr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Balance as per Vendor Confirmation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19,00,000</w:t>
            </w:r>
          </w:p>
        </w:tc>
      </w:tr>
      <w:tr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Unreconciled Difference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9,00,000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Analysis of Difference (Rs 9,00,000)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4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#</w:t>
            </w:r>
          </w:p>
        </w:tc>
        <w:tc>
          <w:tcPr>
            <w:tcW w:type="dxa" w:w="403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Likely Cause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  <w:tc>
          <w:tcPr>
            <w:tcW w:type="dxa" w:w="460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Resolution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4032"/>
            <w:shd w:fill="F5F7FA" w:val="clear"/>
          </w:tcPr>
          <w:p>
            <w:r/>
            <w:r>
              <w:rPr>
                <w:sz w:val="20"/>
              </w:rPr>
              <w:t>Advance paid in September 2025 not acknowledged by vendor (in-transit)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2,50,000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Obtain vendor receipt confirmation — expected to reconcile in Oct statement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4032"/>
            <w:shd w:fill="FFFFFF" w:val="clear"/>
          </w:tcPr>
          <w:p>
            <w:r/>
            <w:r>
              <w:rPr>
                <w:sz w:val="20"/>
              </w:rPr>
              <w:t>Goods received — vendor invoice not raised yet (accrual needed)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3,20,000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Raise GRN-based accrual. Pass provision entry Dr. Purchases / Cr. Vendor Accrual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4032"/>
            <w:shd w:fill="F5F7FA" w:val="clear"/>
          </w:tcPr>
          <w:p>
            <w:r/>
            <w:r>
              <w:rPr>
                <w:sz w:val="20"/>
              </w:rPr>
              <w:t>Credit note issued by vendor in August — not yet recorded in IDP books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1,80,000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Obtain credit note, book entry: Dr. Vendor Ledger / Cr. Purchases Returns</w:t>
            </w:r>
          </w:p>
        </w:tc>
      </w:tr>
      <w:tr>
        <w:tc>
          <w:tcPr>
            <w:tcW w:type="dxa" w:w="432"/>
            <w:shd w:fill="FFFFFF" w:val="clear"/>
          </w:tcPr>
          <w:p>
            <w:r/>
            <w:r>
              <w:rPr>
                <w:sz w:val="20"/>
              </w:rPr>
              <w:t>4</w:t>
            </w:r>
          </w:p>
        </w:tc>
        <w:tc>
          <w:tcPr>
            <w:tcW w:type="dxa" w:w="4032"/>
            <w:shd w:fill="FFFFFF" w:val="clear"/>
          </w:tcPr>
          <w:p>
            <w:r/>
            <w:r>
              <w:rPr>
                <w:sz w:val="20"/>
              </w:rPr>
              <w:t>TDS deducted on advance (10% u/s 194J) — not reflected in vendor statement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90,000</w:t>
            </w:r>
          </w:p>
        </w:tc>
        <w:tc>
          <w:tcPr>
            <w:tcW w:type="dxa" w:w="4608"/>
            <w:shd w:fill="FFFFFF" w:val="clear"/>
          </w:tcPr>
          <w:p>
            <w:r/>
            <w:r>
              <w:rPr>
                <w:sz w:val="20"/>
              </w:rPr>
              <w:t>Share TDS certificate with vendor. Difference is accounting treatment, not actual</w:t>
            </w:r>
          </w:p>
        </w:tc>
      </w:tr>
      <w:tr>
        <w:tc>
          <w:tcPr>
            <w:tcW w:type="dxa" w:w="432"/>
            <w:shd w:fill="F5F7FA" w:val="clear"/>
          </w:tcPr>
          <w:p>
            <w:r/>
            <w:r>
              <w:rPr>
                <w:sz w:val="20"/>
              </w:rPr>
              <w:t>5</w:t>
            </w:r>
          </w:p>
        </w:tc>
        <w:tc>
          <w:tcPr>
            <w:tcW w:type="dxa" w:w="4032"/>
            <w:shd w:fill="F5F7FA" w:val="clear"/>
          </w:tcPr>
          <w:p>
            <w:r/>
            <w:r>
              <w:rPr>
                <w:sz w:val="20"/>
              </w:rPr>
              <w:t>Disputed invoice — goods quality rejection pending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60,000</w:t>
            </w:r>
          </w:p>
        </w:tc>
        <w:tc>
          <w:tcPr>
            <w:tcW w:type="dxa" w:w="4608"/>
            <w:shd w:fill="F5F7FA" w:val="clear"/>
          </w:tcPr>
          <w:p>
            <w:r/>
            <w:r>
              <w:rPr>
                <w:sz w:val="20"/>
              </w:rPr>
              <w:t>Escalate to Procurement. Hold payment pending resolution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Recommended Journal Entries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14"/>
        <w:gridCol w:w="1814"/>
        <w:gridCol w:w="1814"/>
        <w:gridCol w:w="1814"/>
        <w:gridCol w:w="1814"/>
      </w:tblGrid>
      <w:tr>
        <w:tc>
          <w:tcPr>
            <w:tcW w:type="dxa" w:w="57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Entry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Debit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Credit</w:t>
            </w:r>
          </w:p>
        </w:tc>
        <w:tc>
          <w:tcPr>
            <w:tcW w:type="dxa" w:w="201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Purpose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Purchases A/c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Vendor Accrual A/c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3,20,000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Goods received but invoice pending</w:t>
            </w:r>
          </w:p>
        </w:tc>
      </w:tr>
      <w:tr>
        <w:tc>
          <w:tcPr>
            <w:tcW w:type="dxa" w:w="576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ABC Supplies A/c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Purchases Returns A/c</w:t>
            </w:r>
          </w:p>
        </w:tc>
        <w:tc>
          <w:tcPr>
            <w:tcW w:type="dxa" w:w="2016"/>
            <w:shd w:fill="FFFFFF" w:val="clear"/>
          </w:tcPr>
          <w:p>
            <w:r/>
            <w:r>
              <w:rPr>
                <w:sz w:val="20"/>
              </w:rPr>
              <w:t>1,80,000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Book vendor credit note</w:t>
            </w:r>
          </w:p>
        </w:tc>
      </w:tr>
      <w:tr>
        <w:tc>
          <w:tcPr>
            <w:tcW w:type="dxa" w:w="576"/>
            <w:shd w:fill="F5F7FA" w:val="clear"/>
          </w:tcPr>
          <w:p>
            <w:r/>
            <w:r>
              <w:rPr>
                <w:sz w:val="20"/>
              </w:rPr>
              <w:t>3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Advance to Vendor A/c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Bank A/c</w:t>
            </w:r>
          </w:p>
        </w:tc>
        <w:tc>
          <w:tcPr>
            <w:tcW w:type="dxa" w:w="2016"/>
            <w:shd w:fill="F5F7FA" w:val="clear"/>
          </w:tcPr>
          <w:p>
            <w:r/>
            <w:r>
              <w:rPr>
                <w:sz w:val="20"/>
              </w:rPr>
              <w:t>2,50,000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Record recent advance (if not already posted)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Next Steps</w:t>
      </w:r>
    </w:p>
    <w:p>
      <w:pPr>
        <w:pStyle w:val="ListBullet"/>
        <w:spacing w:after="60"/>
      </w:pPr>
      <w:r>
        <w:rPr>
          <w:b w:val="0"/>
          <w:sz w:val="22"/>
        </w:rPr>
        <w:t>Obtain written confirmation from ABC Supplies for Rs 2.5 lakh advance (by 10 Oct 2025)</w:t>
      </w:r>
    </w:p>
    <w:p>
      <w:pPr>
        <w:pStyle w:val="ListBullet"/>
        <w:spacing w:after="60"/>
      </w:pPr>
      <w:r>
        <w:rPr>
          <w:b w:val="0"/>
          <w:sz w:val="22"/>
        </w:rPr>
        <w:t>Book GRN accrual of Rs 3.2 lakhs before closing Q2 books</w:t>
      </w:r>
    </w:p>
    <w:p>
      <w:pPr>
        <w:pStyle w:val="ListBullet"/>
        <w:spacing w:after="60"/>
      </w:pPr>
      <w:r>
        <w:rPr>
          <w:b w:val="0"/>
          <w:sz w:val="22"/>
        </w:rPr>
        <w:t>Resolve quality dispute on Rs 60k — Procurement decision by 15 Oct 2025</w:t>
      </w:r>
    </w:p>
    <w:p>
      <w:pPr>
        <w:pStyle w:val="ListBullet"/>
        <w:spacing w:after="60"/>
      </w:pPr>
      <w:r>
        <w:rPr>
          <w:b w:val="0"/>
          <w:sz w:val="22"/>
        </w:rPr>
        <w:t>Schedule next vendor statement reconciliation for 31 December 2025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